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A5" w:rsidRDefault="00FE26A5" w:rsidP="00D557E0">
      <w:pPr>
        <w:ind w:firstLine="0"/>
        <w:jc w:val="center"/>
        <w:rPr>
          <w:rFonts w:ascii="Times New Roman" w:hAnsi="Times New Roman"/>
          <w:b/>
          <w:sz w:val="28"/>
          <w:szCs w:val="28"/>
        </w:rPr>
      </w:pPr>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9"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лицами, замещающими должности членов Совета директоров Центрального банка Российской Федерации, иные должности</w:t>
      </w:r>
      <w:r w:rsidR="00A51C4B" w:rsidRPr="00E00F6B">
        <w:t xml:space="preserve"> </w:t>
      </w:r>
      <w:r w:rsidRPr="00E00F6B">
        <w:t xml:space="preserve">в Центральном банке Российской Федерации, включенные в </w:t>
      </w:r>
      <w:hyperlink r:id="rId10"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E00F6B">
        <w:rPr>
          <w:rFonts w:ascii="Times New Roman" w:hAnsi="Times New Roman"/>
          <w:sz w:val="28"/>
          <w:szCs w:val="28"/>
        </w:rPr>
        <w:t xml:space="preserve"> </w:t>
      </w:r>
      <w:r w:rsidRPr="00E00F6B">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lastRenderedPageBreak/>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BB2E19" w:rsidRPr="00E00F6B">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а также</w:t>
      </w:r>
      <w:r w:rsidR="00D709FC" w:rsidRPr="00E00F6B">
        <w:rPr>
          <w:rFonts w:ascii="Times New Roman" w:hAnsi="Times New Roman"/>
          <w:sz w:val="28"/>
          <w:szCs w:val="28"/>
        </w:rPr>
        <w:t xml:space="preserve"> </w:t>
      </w:r>
      <w:r w:rsidR="001F43C6" w:rsidRPr="00E00F6B">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E00F6B">
        <w:rPr>
          <w:rFonts w:ascii="Times New Roman" w:hAnsi="Times New Roman"/>
          <w:sz w:val="28"/>
          <w:szCs w:val="28"/>
        </w:rPr>
        <w:lastRenderedPageBreak/>
        <w:t xml:space="preserve">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00062BDB" w:rsidRPr="00E00F6B">
        <w:rPr>
          <w:rFonts w:ascii="Times New Roman" w:hAnsi="Times New Roman"/>
          <w:sz w:val="28"/>
          <w:szCs w:val="28"/>
        </w:rPr>
        <w:t xml:space="preserve"> </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w:t>
      </w:r>
      <w:r w:rsidR="00105EFF" w:rsidRPr="00E00F6B">
        <w:rPr>
          <w:rFonts w:ascii="Times New Roman" w:hAnsi="Times New Roman"/>
          <w:sz w:val="28"/>
          <w:szCs w:val="28"/>
        </w:rPr>
        <w:t xml:space="preserve"> </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r w:rsidR="007816AA" w:rsidRPr="00E00F6B">
        <w:rPr>
          <w:rFonts w:ascii="Times New Roman" w:hAnsi="Times New Roman"/>
          <w:sz w:val="28"/>
          <w:szCs w:val="28"/>
        </w:rPr>
        <w:t xml:space="preserve"> </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lastRenderedPageBreak/>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E00F6B">
              <w:rPr>
                <w:rFonts w:ascii="Times New Roman" w:hAnsi="Times New Roman"/>
                <w:sz w:val="28"/>
                <w:szCs w:val="28"/>
              </w:rPr>
              <w:lastRenderedPageBreak/>
              <w:t xml:space="preserve">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lastRenderedPageBreak/>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6910"/>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w:t>
            </w:r>
            <w:r w:rsidRPr="00E00F6B">
              <w:rPr>
                <w:rFonts w:ascii="Times New Roman" w:hAnsi="Times New Roman"/>
                <w:sz w:val="28"/>
                <w:szCs w:val="28"/>
              </w:rPr>
              <w:lastRenderedPageBreak/>
              <w:t xml:space="preserve">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сына представляются, </w:t>
            </w:r>
            <w:r w:rsidRPr="00E00F6B">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lastRenderedPageBreak/>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D709FC" w:rsidRPr="00E00F6B">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lastRenderedPageBreak/>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D709FC"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36"/>
          <w:szCs w:val="28"/>
        </w:rPr>
      </w:pPr>
      <w:r w:rsidRPr="00E00F6B">
        <w:rPr>
          <w:rFonts w:ascii="Times New Roman" w:hAnsi="Times New Roman"/>
          <w:sz w:val="36"/>
          <w:szCs w:val="28"/>
        </w:rPr>
        <w:t xml:space="preserve"> </w:t>
      </w:r>
      <w:r w:rsidR="00C370E3"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lastRenderedPageBreak/>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 xml:space="preserve">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w:t>
      </w:r>
      <w:r w:rsidR="00096ED3" w:rsidRPr="00E00F6B">
        <w:rPr>
          <w:rFonts w:ascii="Times New Roman" w:hAnsi="Times New Roman" w:cs="Times New Roman"/>
          <w:sz w:val="28"/>
          <w:szCs w:val="28"/>
        </w:rPr>
        <w:lastRenderedPageBreak/>
        <w:t>(работника),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w:t>
      </w:r>
      <w:r w:rsidRPr="00E00F6B">
        <w:rPr>
          <w:sz w:val="28"/>
          <w:szCs w:val="28"/>
        </w:rPr>
        <w:lastRenderedPageBreak/>
        <w:t xml:space="preserve">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w:t>
      </w:r>
      <w:r w:rsidR="00544487" w:rsidRPr="00E00F6B">
        <w:rPr>
          <w:rFonts w:ascii="Times New Roman" w:hAnsi="Times New Roman"/>
          <w:sz w:val="28"/>
          <w:szCs w:val="28"/>
        </w:rPr>
        <w:t xml:space="preserve"> </w:t>
      </w:r>
      <w:r w:rsidRPr="00E00F6B">
        <w:rPr>
          <w:rFonts w:ascii="Times New Roman" w:hAnsi="Times New Roman"/>
          <w:sz w:val="28"/>
          <w:szCs w:val="28"/>
        </w:rPr>
        <w:t>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94002D" w:rsidRDefault="00253C73" w:rsidP="00767EB3">
      <w:pPr>
        <w:ind w:firstLine="567"/>
        <w:rPr>
          <w:rFonts w:ascii="Times New Roman" w:hAnsi="Times New Roman"/>
          <w:b/>
          <w:sz w:val="28"/>
          <w:szCs w:val="28"/>
        </w:rPr>
      </w:pPr>
      <w:r w:rsidRPr="0094002D">
        <w:rPr>
          <w:rFonts w:ascii="Times New Roman" w:hAnsi="Times New Roman"/>
          <w:b/>
          <w:sz w:val="28"/>
          <w:szCs w:val="28"/>
        </w:rPr>
        <w:t>6</w:t>
      </w:r>
      <w:r w:rsidR="00096ED3" w:rsidRPr="0094002D">
        <w:rPr>
          <w:rFonts w:ascii="Times New Roman" w:hAnsi="Times New Roman"/>
          <w:b/>
          <w:sz w:val="28"/>
          <w:szCs w:val="28"/>
        </w:rPr>
        <w:t xml:space="preserve">) с оплатой коммунальных и иных услуг, </w:t>
      </w:r>
      <w:r w:rsidR="001E3D2A" w:rsidRPr="0094002D">
        <w:rPr>
          <w:rFonts w:ascii="Times New Roman" w:hAnsi="Times New Roman"/>
          <w:b/>
          <w:sz w:val="28"/>
          <w:szCs w:val="28"/>
        </w:rPr>
        <w:t xml:space="preserve">наймом </w:t>
      </w:r>
      <w:r w:rsidR="00096ED3" w:rsidRPr="0094002D">
        <w:rPr>
          <w:rFonts w:ascii="Times New Roman" w:hAnsi="Times New Roman"/>
          <w:b/>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lastRenderedPageBreak/>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E00F6B">
        <w:rPr>
          <w:rFonts w:ascii="Times New Roman" w:hAnsi="Times New Roman"/>
          <w:sz w:val="28"/>
          <w:szCs w:val="28"/>
        </w:rPr>
        <w:t xml:space="preserve"> </w:t>
      </w:r>
      <w:r w:rsidR="001F43C6" w:rsidRPr="00E00F6B">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Pr>
          <w:rFonts w:ascii="Times New Roman" w:hAnsi="Times New Roman"/>
          <w:sz w:val="28"/>
          <w:szCs w:val="28"/>
        </w:rPr>
        <w:t xml:space="preserve"> </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w:t>
      </w:r>
      <w:r w:rsidRPr="00E00F6B">
        <w:rPr>
          <w:rFonts w:ascii="Times New Roman" w:hAnsi="Times New Roman"/>
          <w:sz w:val="28"/>
          <w:szCs w:val="28"/>
        </w:rPr>
        <w:lastRenderedPageBreak/>
        <w:t>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bookmarkStart w:id="0" w:name="_GoBack"/>
      <w:bookmarkEnd w:id="0"/>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 xml:space="preserve">наименование и реквизиты документа, являющегося </w:t>
      </w:r>
      <w:r w:rsidRPr="00E00F6B">
        <w:lastRenderedPageBreak/>
        <w:t>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w:t>
      </w:r>
      <w:r w:rsidRPr="00E00F6B">
        <w:rPr>
          <w:rFonts w:ascii="Times New Roman" w:hAnsi="Times New Roman"/>
          <w:sz w:val="28"/>
          <w:szCs w:val="28"/>
        </w:rPr>
        <w:lastRenderedPageBreak/>
        <w:t>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E00F6B">
        <w:rPr>
          <w:rFonts w:ascii="Times New Roman" w:hAnsi="Times New Roman"/>
          <w:color w:val="FF0000"/>
          <w:sz w:val="28"/>
          <w:szCs w:val="28"/>
        </w:rPr>
        <w:t xml:space="preserve"> </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w:t>
      </w:r>
      <w:r w:rsidR="00D709FC" w:rsidRPr="00E00F6B">
        <w:rPr>
          <w:rFonts w:ascii="Times New Roman" w:hAnsi="Times New Roman"/>
          <w:sz w:val="28"/>
          <w:szCs w:val="28"/>
        </w:rPr>
        <w:t xml:space="preserve"> </w:t>
      </w:r>
      <w:r w:rsidRPr="00E00F6B">
        <w:rPr>
          <w:rFonts w:ascii="Times New Roman" w:hAnsi="Times New Roman"/>
          <w:sz w:val="28"/>
          <w:szCs w:val="28"/>
        </w:rPr>
        <w:t>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w:t>
      </w:r>
      <w:r w:rsidRPr="00E00F6B">
        <w:rPr>
          <w:rStyle w:val="a8"/>
          <w:rFonts w:ascii="Times New Roman" w:hAnsi="Times New Roman" w:cs="Times New Roman"/>
          <w:color w:val="000000"/>
          <w:sz w:val="28"/>
          <w:szCs w:val="28"/>
        </w:rPr>
        <w:lastRenderedPageBreak/>
        <w:t xml:space="preserve">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Pr="00E00F6B">
        <w:rPr>
          <w:rStyle w:val="a8"/>
          <w:rFonts w:ascii="Times New Roman" w:hAnsi="Times New Roman" w:cs="Times New Roman"/>
          <w:sz w:val="28"/>
          <w:szCs w:val="28"/>
        </w:rPr>
        <w:t xml:space="preserve">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E00F6B">
        <w:rPr>
          <w:rFonts w:ascii="Times New Roman" w:hAnsi="Times New Roman"/>
          <w:sz w:val="28"/>
          <w:szCs w:val="28"/>
        </w:rPr>
        <w:t xml:space="preserve"> </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lastRenderedPageBreak/>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Pr="00E00F6B">
        <w:rPr>
          <w:rFonts w:ascii="Times New Roman" w:hAnsi="Times New Roman"/>
          <w:sz w:val="28"/>
          <w:szCs w:val="28"/>
        </w:rPr>
        <w:t xml:space="preserve"> </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rPr>
        <w:t xml:space="preserve"> </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lastRenderedPageBreak/>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 xml:space="preserve">6 Правил регистрации </w:t>
      </w:r>
      <w:r w:rsidRPr="00E00F6B">
        <w:rPr>
          <w:rFonts w:ascii="Times New Roman" w:hAnsi="Times New Roman"/>
          <w:sz w:val="28"/>
          <w:szCs w:val="28"/>
        </w:rPr>
        <w:lastRenderedPageBreak/>
        <w:t>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Pr="00E00F6B">
        <w:rPr>
          <w:rFonts w:ascii="Times New Roman" w:hAnsi="Times New Roman"/>
          <w:b/>
          <w:color w:val="000000"/>
          <w:sz w:val="28"/>
          <w:szCs w:val="28"/>
        </w:rPr>
        <w:t xml:space="preserve"> </w:t>
      </w:r>
      <w:r w:rsidR="001F3E28" w:rsidRPr="00E00F6B">
        <w:rPr>
          <w:rFonts w:ascii="Times New Roman" w:hAnsi="Times New Roman"/>
          <w:b/>
          <w:color w:val="000000"/>
          <w:sz w:val="28"/>
          <w:szCs w:val="28"/>
        </w:rPr>
        <w:t>«Место регистрации»</w:t>
      </w:r>
      <w:r w:rsidRPr="00E00F6B">
        <w:rPr>
          <w:rFonts w:ascii="Times New Roman" w:hAnsi="Times New Roman"/>
          <w:b/>
          <w:color w:val="000000"/>
          <w:sz w:val="28"/>
          <w:szCs w:val="28"/>
        </w:rPr>
        <w:t xml:space="preserve"> </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6"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7"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lastRenderedPageBreak/>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w:t>
      </w:r>
      <w:r w:rsidR="00096ED3" w:rsidRPr="00E00F6B">
        <w:t xml:space="preserve"> </w:t>
      </w:r>
      <w:r w:rsidR="008217B2" w:rsidRPr="00E00F6B">
        <w:rPr>
          <w:rStyle w:val="a8"/>
          <w:rFonts w:ascii="Times New Roman" w:hAnsi="Times New Roman" w:cs="Times New Roman"/>
          <w:color w:val="000000"/>
          <w:sz w:val="28"/>
          <w:szCs w:val="28"/>
        </w:rPr>
        <w:t>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w:t>
      </w:r>
      <w:r w:rsidRPr="00E00F6B">
        <w:rPr>
          <w:rFonts w:ascii="Times New Roman" w:hAnsi="Times New Roman"/>
          <w:sz w:val="28"/>
          <w:szCs w:val="28"/>
        </w:rPr>
        <w:lastRenderedPageBreak/>
        <w:t xml:space="preserve">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E00F6B">
        <w:rPr>
          <w:rFonts w:ascii="Times New Roman" w:hAnsi="Times New Roman"/>
          <w:color w:val="FF0000"/>
          <w:sz w:val="28"/>
          <w:szCs w:val="28"/>
        </w:rPr>
        <w:t xml:space="preserve">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0"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w:t>
            </w:r>
            <w:r w:rsidRPr="00E00F6B">
              <w:rPr>
                <w:rFonts w:ascii="Times New Roman" w:hAnsi="Times New Roman"/>
                <w:sz w:val="28"/>
                <w:szCs w:val="28"/>
              </w:rPr>
              <w:lastRenderedPageBreak/>
              <w:t xml:space="preserve">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lastRenderedPageBreak/>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 xml:space="preserve">лицом, которому открыт такой счет, подлежат </w:t>
      </w:r>
      <w:r w:rsidR="005C69BB" w:rsidRPr="00E00F6B">
        <w:rPr>
          <w:rFonts w:ascii="Times New Roman" w:hAnsi="Times New Roman"/>
          <w:sz w:val="28"/>
          <w:szCs w:val="28"/>
        </w:rPr>
        <w:lastRenderedPageBreak/>
        <w:t>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t xml:space="preserve"> </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D709FC" w:rsidRPr="00E00F6B">
        <w:rPr>
          <w:rFonts w:ascii="Times New Roman" w:hAnsi="Times New Roman"/>
          <w:sz w:val="28"/>
          <w:szCs w:val="28"/>
        </w:rPr>
        <w:t xml:space="preserve"> </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w:t>
      </w:r>
      <w:r w:rsidR="00D709FC" w:rsidRPr="00E00F6B">
        <w:rPr>
          <w:rFonts w:ascii="Times New Roman" w:hAnsi="Times New Roman"/>
          <w:sz w:val="28"/>
          <w:szCs w:val="28"/>
        </w:rPr>
        <w:t xml:space="preserve"> </w:t>
      </w:r>
      <w:r w:rsidRPr="00E00F6B">
        <w:rPr>
          <w:rFonts w:ascii="Times New Roman" w:hAnsi="Times New Roman"/>
          <w:sz w:val="28"/>
          <w:szCs w:val="28"/>
        </w:rPr>
        <w:t>№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w:t>
      </w:r>
      <w:r w:rsidRPr="00E00F6B">
        <w:rPr>
          <w:rFonts w:ascii="Times New Roman" w:hAnsi="Times New Roman"/>
          <w:sz w:val="28"/>
          <w:szCs w:val="28"/>
        </w:rPr>
        <w:lastRenderedPageBreak/>
        <w:t>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lastRenderedPageBreak/>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w:t>
      </w:r>
      <w:r w:rsidR="00C370E3" w:rsidRPr="00E00F6B">
        <w:rPr>
          <w:rFonts w:ascii="Times New Roman" w:hAnsi="Times New Roman"/>
          <w:sz w:val="28"/>
          <w:szCs w:val="28"/>
        </w:rPr>
        <w:lastRenderedPageBreak/>
        <w:t>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lastRenderedPageBreak/>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w:t>
      </w:r>
      <w:r w:rsidR="00096ED3" w:rsidRPr="00E00F6B">
        <w:rPr>
          <w:rFonts w:ascii="Times New Roman" w:hAnsi="Times New Roman"/>
          <w:sz w:val="28"/>
          <w:szCs w:val="28"/>
        </w:rPr>
        <w:lastRenderedPageBreak/>
        <w:t>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w:t>
      </w:r>
      <w:r w:rsidRPr="00E00F6B">
        <w:rPr>
          <w:rFonts w:ascii="Times New Roman" w:hAnsi="Times New Roman"/>
          <w:sz w:val="28"/>
          <w:szCs w:val="28"/>
        </w:rPr>
        <w:lastRenderedPageBreak/>
        <w:t>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00C459C2" w:rsidRPr="00E00F6B">
        <w:rPr>
          <w:rFonts w:ascii="Times New Roman" w:hAnsi="Times New Roman"/>
          <w:sz w:val="28"/>
          <w:szCs w:val="28"/>
        </w:rPr>
        <w:t xml:space="preserve"> </w:t>
      </w:r>
      <w:r w:rsidRPr="00E00F6B">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2A113B" w:rsidRPr="00E00F6B">
        <w:rPr>
          <w:rFonts w:ascii="Times New Roman" w:hAnsi="Times New Roman"/>
          <w:sz w:val="28"/>
          <w:szCs w:val="28"/>
        </w:rPr>
        <w:t xml:space="preserve"> </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«Транспортные средства» рекомендуется указывать вид, </w:t>
      </w:r>
      <w:r w:rsidRPr="00E00F6B">
        <w:rPr>
          <w:rFonts w:ascii="Times New Roman" w:hAnsi="Times New Roman"/>
          <w:sz w:val="28"/>
          <w:szCs w:val="28"/>
        </w:rPr>
        <w:lastRenderedPageBreak/>
        <w:t>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w:t>
      </w:r>
      <w:r w:rsidR="00B2437B" w:rsidRPr="00E00F6B" w:rsidDel="00B2437B">
        <w:rPr>
          <w:rFonts w:ascii="Times New Roman" w:hAnsi="Times New Roman"/>
          <w:sz w:val="28"/>
          <w:szCs w:val="28"/>
        </w:rPr>
        <w:t xml:space="preserve"> </w:t>
      </w:r>
      <w:r w:rsidR="00B2437B" w:rsidRPr="00E00F6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5"/>
      <w:pgSz w:w="11906" w:h="16838"/>
      <w:pgMar w:top="451" w:right="1134" w:bottom="426" w:left="1418"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FCA" w:rsidRDefault="00632FCA" w:rsidP="00204BB5">
      <w:r>
        <w:separator/>
      </w:r>
    </w:p>
  </w:endnote>
  <w:endnote w:type="continuationSeparator" w:id="1">
    <w:p w:rsidR="00632FCA" w:rsidRDefault="00632FCA"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FCA" w:rsidRDefault="00632FCA" w:rsidP="00204BB5">
      <w:r>
        <w:separator/>
      </w:r>
    </w:p>
  </w:footnote>
  <w:footnote w:type="continuationSeparator" w:id="1">
    <w:p w:rsidR="00632FCA" w:rsidRDefault="00632FCA"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4C0" w:rsidRDefault="00172008">
    <w:pPr>
      <w:pStyle w:val="a3"/>
      <w:jc w:val="center"/>
    </w:pPr>
    <w:r w:rsidRPr="00204BB5">
      <w:rPr>
        <w:rFonts w:ascii="Times New Roman" w:hAnsi="Times New Roman"/>
        <w:sz w:val="28"/>
        <w:szCs w:val="28"/>
      </w:rPr>
      <w:fldChar w:fldCharType="begin"/>
    </w:r>
    <w:r w:rsidR="001824C0"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94002D">
      <w:rPr>
        <w:rFonts w:ascii="Times New Roman" w:hAnsi="Times New Roman"/>
        <w:noProof/>
        <w:sz w:val="28"/>
        <w:szCs w:val="28"/>
      </w:rPr>
      <w:t>20</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ита">
    <w15:presenceInfo w15:providerId="None" w15:userId="Никит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0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659FC"/>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242B5"/>
    <w:rsid w:val="00631964"/>
    <w:rsid w:val="006326CE"/>
    <w:rsid w:val="00632FCA"/>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34D9"/>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02D"/>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554E"/>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cbr.ru/hd_base/?PrtId=metall_base_new"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ACE9E36-F1F3-4CB6-9489-D1DB6F82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15713</Words>
  <Characters>89570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105073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ЧухланцевГИ</cp:lastModifiedBy>
  <cp:revision>3</cp:revision>
  <cp:lastPrinted>2018-02-05T07:18:00Z</cp:lastPrinted>
  <dcterms:created xsi:type="dcterms:W3CDTF">2018-01-18T11:53:00Z</dcterms:created>
  <dcterms:modified xsi:type="dcterms:W3CDTF">2018-02-05T07:37:00Z</dcterms:modified>
</cp:coreProperties>
</file>